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86" w:rsidRPr="007C2486" w:rsidRDefault="007C2486" w:rsidP="007C2486">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7C2486">
        <w:rPr>
          <w:rFonts w:ascii="Times New Roman" w:eastAsia="Times New Roman" w:hAnsi="Times New Roman" w:cs="Times New Roman"/>
          <w:b/>
          <w:bCs/>
          <w:sz w:val="24"/>
          <w:szCs w:val="24"/>
          <w:lang w:eastAsia="ru-RU"/>
        </w:rPr>
        <w:t>Статья 220. Имущественные налоговые вычеты</w:t>
      </w:r>
    </w:p>
    <w:p w:rsidR="007C2486" w:rsidRPr="007C2486" w:rsidRDefault="007C2486" w:rsidP="007C2486">
      <w:pPr>
        <w:spacing w:after="0" w:line="240" w:lineRule="auto"/>
        <w:jc w:val="both"/>
        <w:rPr>
          <w:rFonts w:ascii="Times New Roman" w:eastAsia="Times New Roman" w:hAnsi="Times New Roman" w:cs="Times New Roman"/>
          <w:sz w:val="24"/>
          <w:szCs w:val="24"/>
          <w:lang w:eastAsia="ru-RU"/>
        </w:rPr>
      </w:pP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2. Имущественный налоговый вычет, предусмотренный подпунктом 1 пункта 1 настоящей статьи, предоставляется с учетом следующих особенностей:</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1) имущественный налоговый вычет предоставляется:</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 xml:space="preserve">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w:t>
      </w:r>
      <w:r w:rsidRPr="007C2486">
        <w:rPr>
          <w:rFonts w:ascii="Times New Roman" w:eastAsia="Times New Roman" w:hAnsi="Times New Roman" w:cs="Times New Roman"/>
          <w:color w:val="000000"/>
          <w:sz w:val="24"/>
          <w:szCs w:val="24"/>
          <w:lang w:eastAsia="ru-RU"/>
        </w:rPr>
        <w:lastRenderedPageBreak/>
        <w:t>срока владения объектом недвижимого имущества, установленного в соответствии со статьей 217.1 настоящего Кодекса, не превышающем в целом 1 000 000 рублей;</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При продаже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В состав расходов налогоплательщика, связанных с приобретением доли в уставном капитале общества, могут включаться следующие расходы:</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расходы в сумме денежных средств и (или) стоимости иного имущества, внесенных в качестве взноса в уставный капитал при учреждении общества или при увеличении его уставного капитала;</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расходы на приобретение или увеличение доли в уставном капитале общества.</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 xml:space="preserve">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w:t>
      </w:r>
      <w:r w:rsidRPr="007C2486">
        <w:rPr>
          <w:rFonts w:ascii="Times New Roman" w:eastAsia="Times New Roman" w:hAnsi="Times New Roman" w:cs="Times New Roman"/>
          <w:color w:val="000000"/>
          <w:sz w:val="24"/>
          <w:szCs w:val="24"/>
          <w:lang w:eastAsia="ru-RU"/>
        </w:rPr>
        <w:lastRenderedPageBreak/>
        <w:t>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2.1)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освобождались от налогообложения в соответствии с пунктом 60 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на сумму, равную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указанную в документах, прилагаемых к заявлению налогоплательщика, представляемому в соответствии с абзацем вторым пункта 60 статьи 217 настоящего Кодекса, но не выше рыночной стоимости такого имущества (имущественных прав), определяемой с учетом статьи 105.3 настоящего Кодекса;</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пункта 10 статьи 309.1 настоящего Кодекса, налогоплательщиком, признаваемым контролирующим лицом такой 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статьи 105.3 настоящего Кодекса;</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4) если иное не предусмотрено подпунктом 2.1 или 2.2 настоящего пункта, положения подпункта 1 пункта 1 настоящей статьи не применяются в отношении доходов, полученных:</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от продажи недвижимого имущества и (или) транспортных средств, которые использовались в предпринимательской деятельности;</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от реализации ценных бумаг;</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lastRenderedPageBreak/>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3. Имущественный налоговый вычет, предусмотренный подпунктом 3 пункта 1 настоящей статьи, предоставляется с учетом следующих особенностей:</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lastRenderedPageBreak/>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расходы на разработку проектной и сметной документации;</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расходы на приобретение строительных и отделочных материалов;</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расходы на приобретение жилого дома или доли (долей) в нем, в том числе не оконченного строительством;</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4) в фактические расходы на приобретение квартиры, комнаты или доли (долей) в них могут включаться следующие расходы:</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расходы на приобретение квартиры, комнаты или доли (долей) в них либо прав на квартиру, комнату или доли (долей) в них в строящемся доме;</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расходы на приобретение отделочных материалов;</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6) для подтверждения права на имущественный налоговый вычет налогоплательщик представляет в налоговый орган:</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 xml:space="preserve">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w:t>
      </w:r>
      <w:r w:rsidRPr="007C2486">
        <w:rPr>
          <w:rFonts w:ascii="Times New Roman" w:eastAsia="Times New Roman" w:hAnsi="Times New Roman" w:cs="Times New Roman"/>
          <w:color w:val="000000"/>
          <w:sz w:val="24"/>
          <w:szCs w:val="24"/>
          <w:lang w:eastAsia="ru-RU"/>
        </w:rPr>
        <w:lastRenderedPageBreak/>
        <w:t>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w:t>
      </w:r>
      <w:bookmarkStart w:id="0" w:name="_GoBack"/>
      <w:bookmarkEnd w:id="0"/>
      <w:r w:rsidRPr="007C2486">
        <w:rPr>
          <w:rFonts w:ascii="Times New Roman" w:eastAsia="Times New Roman" w:hAnsi="Times New Roman" w:cs="Times New Roman"/>
          <w:color w:val="000000"/>
          <w:sz w:val="24"/>
          <w:szCs w:val="24"/>
          <w:lang w:eastAsia="ru-RU"/>
        </w:rPr>
        <w:t>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4. 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факт уплаты денежных средств налогоплательщиком в погашение процентов.</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5. 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 xml:space="preserve">6. Право на получение имущественных налоговых вычетов, предусмотренных подпунктами 3 и 4 пункта 1 настоящей статьи, имеют налогоплательщики, являющиеся </w:t>
      </w:r>
      <w:r w:rsidRPr="007C2486">
        <w:rPr>
          <w:rFonts w:ascii="Times New Roman" w:eastAsia="Times New Roman" w:hAnsi="Times New Roman" w:cs="Times New Roman"/>
          <w:color w:val="000000"/>
          <w:sz w:val="24"/>
          <w:szCs w:val="24"/>
          <w:lang w:eastAsia="ru-RU"/>
        </w:rPr>
        <w:lastRenderedPageBreak/>
        <w:t>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8. 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исполнительной власти, уполномоченным по контролю и надзору в области налогов и сборов.</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налогоплательщик имеет право на получение имущественных налоговых вычетов в порядке, предусмотренном пунктом 7 настоящей статьи.</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lastRenderedPageBreak/>
        <w:t>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10. 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rsidR="007C2486" w:rsidRPr="007C2486" w:rsidRDefault="007C2486" w:rsidP="007C2486">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7C2486">
        <w:rPr>
          <w:rFonts w:ascii="Times New Roman" w:eastAsia="Times New Roman" w:hAnsi="Times New Roman" w:cs="Times New Roman"/>
          <w:color w:val="000000"/>
          <w:sz w:val="24"/>
          <w:szCs w:val="24"/>
          <w:lang w:eastAsia="ru-RU"/>
        </w:rPr>
        <w:t>11. Повторное предоставление налоговых вычетов, предусмотренных подпунктами 3 и 4 пункта 1 настоящей статьи, не допускается.</w:t>
      </w:r>
    </w:p>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85"/>
    <w:rsid w:val="007C2486"/>
    <w:rsid w:val="00DB1C85"/>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531584">
      <w:bodyDiv w:val="1"/>
      <w:marLeft w:val="0"/>
      <w:marRight w:val="0"/>
      <w:marTop w:val="0"/>
      <w:marBottom w:val="0"/>
      <w:divBdr>
        <w:top w:val="none" w:sz="0" w:space="0" w:color="auto"/>
        <w:left w:val="none" w:sz="0" w:space="0" w:color="auto"/>
        <w:bottom w:val="none" w:sz="0" w:space="0" w:color="auto"/>
        <w:right w:val="none" w:sz="0" w:space="0" w:color="auto"/>
      </w:divBdr>
      <w:divsChild>
        <w:div w:id="1994095473">
          <w:marLeft w:val="0"/>
          <w:marRight w:val="0"/>
          <w:marTop w:val="0"/>
          <w:marBottom w:val="0"/>
          <w:divBdr>
            <w:top w:val="none" w:sz="0" w:space="0" w:color="auto"/>
            <w:left w:val="none" w:sz="0" w:space="0" w:color="auto"/>
            <w:bottom w:val="none" w:sz="0" w:space="0" w:color="auto"/>
            <w:right w:val="none" w:sz="0" w:space="0" w:color="auto"/>
          </w:divBdr>
        </w:div>
        <w:div w:id="97919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3458</Words>
  <Characters>19713</Characters>
  <Application>Microsoft Office Word</Application>
  <DocSecurity>0</DocSecurity>
  <Lines>164</Lines>
  <Paragraphs>46</Paragraphs>
  <ScaleCrop>false</ScaleCrop>
  <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2016-06-28T09:32:00Z</dcterms:created>
  <dcterms:modified xsi:type="dcterms:W3CDTF">2016-06-28T09:33:00Z</dcterms:modified>
</cp:coreProperties>
</file>