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76" w:rsidRDefault="00BE4976" w:rsidP="00BE4976">
      <w:pPr>
        <w:pStyle w:val="2"/>
        <w:rPr>
          <w:sz w:val="20"/>
          <w:szCs w:val="20"/>
        </w:rPr>
      </w:pPr>
      <w:bookmarkStart w:id="0" w:name="_GoBack"/>
      <w:r>
        <w:rPr>
          <w:sz w:val="20"/>
          <w:szCs w:val="20"/>
        </w:rPr>
        <w:t>Статья 220. Имущественные налоговые вычеты</w:t>
      </w:r>
    </w:p>
    <w:bookmarkEnd w:id="0"/>
    <w:p w:rsidR="00BE4976" w:rsidRDefault="00BE4976" w:rsidP="00BE4976">
      <w:pPr>
        <w:rPr>
          <w:sz w:val="24"/>
          <w:szCs w:val="24"/>
        </w:rPr>
      </w:pPr>
      <w:r w:rsidRPr="00BE4976">
        <w:rPr>
          <w:b/>
          <w:bCs/>
          <w:sz w:val="20"/>
          <w:szCs w:val="20"/>
        </w:rPr>
        <w:t>[Налоговый кодекс РФ]</w:t>
      </w:r>
      <w:r>
        <w:rPr>
          <w:rStyle w:val="apple-converted-space"/>
        </w:rPr>
        <w:t> </w:t>
      </w:r>
      <w:r w:rsidRPr="00BE4976">
        <w:rPr>
          <w:b/>
          <w:bCs/>
          <w:sz w:val="20"/>
          <w:szCs w:val="20"/>
        </w:rPr>
        <w:t>[Глава 23]</w:t>
      </w:r>
      <w:r>
        <w:rPr>
          <w:rStyle w:val="apple-converted-space"/>
        </w:rPr>
        <w:t> </w:t>
      </w:r>
      <w:r w:rsidRPr="00BE4976">
        <w:rPr>
          <w:b/>
          <w:bCs/>
          <w:sz w:val="20"/>
          <w:szCs w:val="20"/>
        </w:rPr>
        <w:t>[Статья 220]</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w:t>
      </w:r>
      <w:proofErr w:type="spellStart"/>
      <w:r>
        <w:rPr>
          <w:rFonts w:ascii="Arial" w:hAnsi="Arial" w:cs="Arial"/>
          <w:color w:val="000000"/>
          <w:sz w:val="20"/>
          <w:szCs w:val="20"/>
        </w:rPr>
        <w:t>перекредитования</w:t>
      </w:r>
      <w:proofErr w:type="spellEnd"/>
      <w:r>
        <w:rPr>
          <w:rFonts w:ascii="Arial" w:hAnsi="Arial" w:cs="Arial"/>
          <w:color w:val="000000"/>
          <w:sz w:val="20"/>
          <w:szCs w:val="20"/>
        </w:rPr>
        <w:t>)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Имущественный налоговый вычет, предусмотренный подпунктом 1 пункта 1 настоящей статьи, предоставляется с учетом следующих особенностей: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имущественный налоговый вычет предоставляется:</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w:t>
      </w:r>
      <w:proofErr w:type="gramStart"/>
      <w:r>
        <w:rPr>
          <w:rFonts w:ascii="Arial" w:hAnsi="Arial" w:cs="Arial"/>
          <w:color w:val="000000"/>
          <w:sz w:val="20"/>
          <w:szCs w:val="20"/>
        </w:rPr>
        <w:t>участков</w:t>
      </w:r>
      <w:proofErr w:type="gramEnd"/>
      <w:r>
        <w:rPr>
          <w:rFonts w:ascii="Arial" w:hAnsi="Arial" w:cs="Arial"/>
          <w:color w:val="000000"/>
          <w:sz w:val="20"/>
          <w:szCs w:val="20"/>
        </w:rPr>
        <w:t xml:space="preserve">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состав расходов налогоплательщика, связанных с приобретением доли в уставном капитале общества, могут включаться следующие расходы:</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или увеличение доли в уставном капитале общества.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продажи недвижимого имущества и (или) транспортных средств, которые использовались в предпринимательской деятельности;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от реализации ценных бумаг;</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Имущественный налоговый вычет, предусмотренный подпунктом 3 пункта 1 настоящей статьи, предоставляется с учетом следующих особенностей: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разработку проектной и сметной документации;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строительных и отделочных материалов;</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жилого дома или доли (долей) в нем, в том числе не оконченного строительством;</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расходы на подключение к сетям электро-, водо- и газоснабжения и канализации или создание автономных источников электро-, водо- и </w:t>
      </w:r>
      <w:proofErr w:type="gramStart"/>
      <w:r>
        <w:rPr>
          <w:rFonts w:ascii="Arial" w:hAnsi="Arial" w:cs="Arial"/>
          <w:color w:val="000000"/>
          <w:sz w:val="20"/>
          <w:szCs w:val="20"/>
        </w:rPr>
        <w:t>газоснабжения</w:t>
      </w:r>
      <w:proofErr w:type="gramEnd"/>
      <w:r>
        <w:rPr>
          <w:rFonts w:ascii="Arial" w:hAnsi="Arial" w:cs="Arial"/>
          <w:color w:val="000000"/>
          <w:sz w:val="20"/>
          <w:szCs w:val="20"/>
        </w:rPr>
        <w:t xml:space="preserve"> и канализации;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фактические расходы на приобретение квартиры, комнаты или доли (долей) в них могут включаться следующие расходы:</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квартиры, комнаты или доли (долей) в них либо прав на квартиру, комнату или доли (долей) в них в строящемся доме;</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приобретение отделочных материалов;</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для подтверждения права на имущественный налоговый вычет налогоплательщик представляет в налоговый орган:</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w:t>
      </w:r>
      <w:r>
        <w:rPr>
          <w:rFonts w:ascii="Arial" w:hAnsi="Arial" w:cs="Arial"/>
          <w:color w:val="000000"/>
          <w:sz w:val="20"/>
          <w:szCs w:val="20"/>
        </w:rPr>
        <w:lastRenderedPageBreak/>
        <w:t>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w:t>
      </w:r>
      <w:r>
        <w:rPr>
          <w:rFonts w:ascii="Arial" w:hAnsi="Arial" w:cs="Arial"/>
          <w:color w:val="000000"/>
          <w:sz w:val="20"/>
          <w:szCs w:val="20"/>
        </w:rPr>
        <w:lastRenderedPageBreak/>
        <w:t>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BE4976" w:rsidRDefault="00BE4976" w:rsidP="00BE4976">
      <w:pPr>
        <w:pStyle w:val="a5"/>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Повторное предоставление налоговых вычетов, предусмотренных подпунктами 3 и 4 пункта 1 настоящей статьи, не допускается.</w:t>
      </w:r>
    </w:p>
    <w:p w:rsidR="00877392" w:rsidRPr="00BE4976" w:rsidRDefault="00877392" w:rsidP="00BE4976"/>
    <w:sectPr w:rsidR="00877392" w:rsidRPr="00BE4976" w:rsidSect="002D2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83E"/>
    <w:multiLevelType w:val="hybridMultilevel"/>
    <w:tmpl w:val="CD90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E0596"/>
    <w:multiLevelType w:val="hybridMultilevel"/>
    <w:tmpl w:val="F0CA0082"/>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61F7F89"/>
    <w:multiLevelType w:val="hybridMultilevel"/>
    <w:tmpl w:val="0F5A6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43901"/>
    <w:multiLevelType w:val="hybridMultilevel"/>
    <w:tmpl w:val="2ACEA3DE"/>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5F174B6"/>
    <w:multiLevelType w:val="hybridMultilevel"/>
    <w:tmpl w:val="7B5C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0F2AA9"/>
    <w:multiLevelType w:val="hybridMultilevel"/>
    <w:tmpl w:val="F6A8349A"/>
    <w:lvl w:ilvl="0" w:tplc="988CCE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A7791"/>
    <w:multiLevelType w:val="hybridMultilevel"/>
    <w:tmpl w:val="9F0AC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8B2E6C"/>
    <w:multiLevelType w:val="hybridMultilevel"/>
    <w:tmpl w:val="254E9E3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983313F"/>
    <w:multiLevelType w:val="hybridMultilevel"/>
    <w:tmpl w:val="F60CE504"/>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BAF79B9"/>
    <w:multiLevelType w:val="hybridMultilevel"/>
    <w:tmpl w:val="FD8C7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13BC7"/>
    <w:multiLevelType w:val="hybridMultilevel"/>
    <w:tmpl w:val="198C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B55A5"/>
    <w:multiLevelType w:val="hybridMultilevel"/>
    <w:tmpl w:val="EAC64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560CE4"/>
    <w:multiLevelType w:val="hybridMultilevel"/>
    <w:tmpl w:val="5CDE22C6"/>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F8164B1"/>
    <w:multiLevelType w:val="hybridMultilevel"/>
    <w:tmpl w:val="69E84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F765A4"/>
    <w:multiLevelType w:val="hybridMultilevel"/>
    <w:tmpl w:val="3D3CA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2B7A48"/>
    <w:multiLevelType w:val="hybridMultilevel"/>
    <w:tmpl w:val="CB38C40A"/>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12"/>
  </w:num>
  <w:num w:numId="3">
    <w:abstractNumId w:val="7"/>
  </w:num>
  <w:num w:numId="4">
    <w:abstractNumId w:val="5"/>
  </w:num>
  <w:num w:numId="5">
    <w:abstractNumId w:val="3"/>
  </w:num>
  <w:num w:numId="6">
    <w:abstractNumId w:val="1"/>
  </w:num>
  <w:num w:numId="7">
    <w:abstractNumId w:val="8"/>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0"/>
  </w:num>
  <w:num w:numId="12">
    <w:abstractNumId w:val="6"/>
  </w:num>
  <w:num w:numId="13">
    <w:abstractNumId w:val="13"/>
  </w:num>
  <w:num w:numId="14">
    <w:abstractNumId w:val="14"/>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28"/>
    <w:rsid w:val="00015ED9"/>
    <w:rsid w:val="00104981"/>
    <w:rsid w:val="00134696"/>
    <w:rsid w:val="001E426F"/>
    <w:rsid w:val="002B3F1C"/>
    <w:rsid w:val="002D200A"/>
    <w:rsid w:val="00375E7D"/>
    <w:rsid w:val="003D08DE"/>
    <w:rsid w:val="003D10F0"/>
    <w:rsid w:val="0041280B"/>
    <w:rsid w:val="00584E42"/>
    <w:rsid w:val="005B0428"/>
    <w:rsid w:val="005B7F01"/>
    <w:rsid w:val="00732DCA"/>
    <w:rsid w:val="00753134"/>
    <w:rsid w:val="00797B61"/>
    <w:rsid w:val="007D61A1"/>
    <w:rsid w:val="0084252C"/>
    <w:rsid w:val="00863355"/>
    <w:rsid w:val="00863D29"/>
    <w:rsid w:val="00877392"/>
    <w:rsid w:val="008B3D59"/>
    <w:rsid w:val="008C7721"/>
    <w:rsid w:val="009333BE"/>
    <w:rsid w:val="009A6B11"/>
    <w:rsid w:val="009C711E"/>
    <w:rsid w:val="009E0F9F"/>
    <w:rsid w:val="00A01F2D"/>
    <w:rsid w:val="00A10AF5"/>
    <w:rsid w:val="00BB7CDE"/>
    <w:rsid w:val="00BE4976"/>
    <w:rsid w:val="00BF191F"/>
    <w:rsid w:val="00BF49B0"/>
    <w:rsid w:val="00C162E2"/>
    <w:rsid w:val="00C56FFD"/>
    <w:rsid w:val="00CB0615"/>
    <w:rsid w:val="00D476B6"/>
    <w:rsid w:val="00D93446"/>
    <w:rsid w:val="00DE1994"/>
    <w:rsid w:val="00DE7B53"/>
    <w:rsid w:val="00DF09C5"/>
    <w:rsid w:val="00E5010A"/>
    <w:rsid w:val="00E554C0"/>
    <w:rsid w:val="00EE3E2A"/>
    <w:rsid w:val="00F80801"/>
    <w:rsid w:val="00F96414"/>
    <w:rsid w:val="00FB3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71D61-BA7A-465A-B077-70407B89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B61"/>
  </w:style>
  <w:style w:type="paragraph" w:styleId="1">
    <w:name w:val="heading 1"/>
    <w:basedOn w:val="a"/>
    <w:next w:val="a"/>
    <w:link w:val="10"/>
    <w:uiPriority w:val="9"/>
    <w:qFormat/>
    <w:rsid w:val="00DE1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1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B61"/>
    <w:pPr>
      <w:ind w:left="720"/>
      <w:contextualSpacing/>
    </w:pPr>
  </w:style>
  <w:style w:type="character" w:styleId="a4">
    <w:name w:val="Hyperlink"/>
    <w:basedOn w:val="a0"/>
    <w:uiPriority w:val="99"/>
    <w:unhideWhenUsed/>
    <w:rsid w:val="00E554C0"/>
    <w:rPr>
      <w:color w:val="0000FF" w:themeColor="hyperlink"/>
      <w:u w:val="single"/>
    </w:rPr>
  </w:style>
  <w:style w:type="character" w:customStyle="1" w:styleId="10">
    <w:name w:val="Заголовок 1 Знак"/>
    <w:basedOn w:val="a0"/>
    <w:link w:val="1"/>
    <w:uiPriority w:val="9"/>
    <w:rsid w:val="00DE19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E199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E4976"/>
  </w:style>
  <w:style w:type="paragraph" w:styleId="a5">
    <w:name w:val="Normal (Web)"/>
    <w:basedOn w:val="a"/>
    <w:uiPriority w:val="99"/>
    <w:semiHidden/>
    <w:unhideWhenUsed/>
    <w:rsid w:val="00BE49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9305">
      <w:bodyDiv w:val="1"/>
      <w:marLeft w:val="0"/>
      <w:marRight w:val="0"/>
      <w:marTop w:val="0"/>
      <w:marBottom w:val="0"/>
      <w:divBdr>
        <w:top w:val="none" w:sz="0" w:space="0" w:color="auto"/>
        <w:left w:val="none" w:sz="0" w:space="0" w:color="auto"/>
        <w:bottom w:val="none" w:sz="0" w:space="0" w:color="auto"/>
        <w:right w:val="none" w:sz="0" w:space="0" w:color="auto"/>
      </w:divBdr>
    </w:div>
    <w:div w:id="926579544">
      <w:bodyDiv w:val="1"/>
      <w:marLeft w:val="0"/>
      <w:marRight w:val="0"/>
      <w:marTop w:val="0"/>
      <w:marBottom w:val="0"/>
      <w:divBdr>
        <w:top w:val="none" w:sz="0" w:space="0" w:color="auto"/>
        <w:left w:val="none" w:sz="0" w:space="0" w:color="auto"/>
        <w:bottom w:val="none" w:sz="0" w:space="0" w:color="auto"/>
        <w:right w:val="none" w:sz="0" w:space="0" w:color="auto"/>
      </w:divBdr>
    </w:div>
    <w:div w:id="1072198321">
      <w:bodyDiv w:val="1"/>
      <w:marLeft w:val="0"/>
      <w:marRight w:val="0"/>
      <w:marTop w:val="0"/>
      <w:marBottom w:val="0"/>
      <w:divBdr>
        <w:top w:val="none" w:sz="0" w:space="0" w:color="auto"/>
        <w:left w:val="none" w:sz="0" w:space="0" w:color="auto"/>
        <w:bottom w:val="none" w:sz="0" w:space="0" w:color="auto"/>
        <w:right w:val="none" w:sz="0" w:space="0" w:color="auto"/>
      </w:divBdr>
      <w:divsChild>
        <w:div w:id="1412582394">
          <w:marLeft w:val="0"/>
          <w:marRight w:val="0"/>
          <w:marTop w:val="0"/>
          <w:marBottom w:val="0"/>
          <w:divBdr>
            <w:top w:val="none" w:sz="0" w:space="0" w:color="auto"/>
            <w:left w:val="none" w:sz="0" w:space="0" w:color="auto"/>
            <w:bottom w:val="none" w:sz="0" w:space="0" w:color="auto"/>
            <w:right w:val="none" w:sz="0" w:space="0" w:color="auto"/>
          </w:divBdr>
        </w:div>
        <w:div w:id="153815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ИП Козин</cp:lastModifiedBy>
  <cp:revision>2</cp:revision>
  <dcterms:created xsi:type="dcterms:W3CDTF">2016-07-20T12:30:00Z</dcterms:created>
  <dcterms:modified xsi:type="dcterms:W3CDTF">2016-07-20T12:30:00Z</dcterms:modified>
</cp:coreProperties>
</file>