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3" w:rsidRPr="00364173" w:rsidRDefault="00364173" w:rsidP="00364173">
      <w:pPr>
        <w:pBdr>
          <w:left w:val="single" w:sz="24" w:space="15" w:color="C00000"/>
        </w:pBdr>
        <w:shd w:val="clear" w:color="auto" w:fill="FFFFFF"/>
        <w:spacing w:before="630" w:after="315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  <w:t>Свердловская область</w:t>
      </w:r>
    </w:p>
    <w:p w:rsidR="00364173" w:rsidRPr="00364173" w:rsidRDefault="00364173" w:rsidP="00364173">
      <w:pPr>
        <w:pBdr>
          <w:left w:val="single" w:sz="24" w:space="15" w:color="C00000"/>
        </w:pBdr>
        <w:shd w:val="clear" w:color="auto" w:fill="FFFFFF"/>
        <w:spacing w:before="630" w:after="315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  <w:t>З а к о н</w:t>
      </w:r>
    </w:p>
    <w:p w:rsidR="00364173" w:rsidRPr="00364173" w:rsidRDefault="00364173" w:rsidP="00364173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Об установлении и введении в действие транспортного налога на территории Свердловской области</w:t>
      </w:r>
    </w:p>
    <w:p w:rsidR="00364173" w:rsidRPr="00364173" w:rsidRDefault="00364173" w:rsidP="00364173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[редакция от 15.06.2011]</w:t>
      </w:r>
    </w:p>
    <w:p w:rsidR="00364173" w:rsidRPr="00364173" w:rsidRDefault="00364173" w:rsidP="00364173">
      <w:pPr>
        <w:shd w:val="clear" w:color="auto" w:fill="FFFFFF"/>
        <w:spacing w:after="0" w:line="465" w:lineRule="atLeast"/>
        <w:textAlignment w:val="top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29.11.2002</w:t>
      </w:r>
    </w:p>
    <w:p w:rsidR="00364173" w:rsidRPr="00364173" w:rsidRDefault="00364173" w:rsidP="00364173">
      <w:pPr>
        <w:shd w:val="clear" w:color="auto" w:fill="FFFFFF"/>
        <w:spacing w:after="0" w:line="465" w:lineRule="atLeast"/>
        <w:textAlignment w:val="top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№ 43-ОЗ</w:t>
      </w:r>
    </w:p>
    <w:p w:rsidR="00364173" w:rsidRPr="00364173" w:rsidRDefault="00364173" w:rsidP="00364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173" w:rsidRPr="00364173" w:rsidRDefault="00364173" w:rsidP="00364173">
      <w:pPr>
        <w:shd w:val="clear" w:color="auto" w:fill="FFFFFF"/>
        <w:spacing w:after="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b/>
          <w:bCs/>
          <w:color w:val="2F2F2F"/>
          <w:sz w:val="29"/>
          <w:szCs w:val="29"/>
          <w:bdr w:val="none" w:sz="0" w:space="0" w:color="auto" w:frame="1"/>
          <w:lang w:eastAsia="ru-RU"/>
        </w:rPr>
        <w:t>Действие ставок, указанных в графе 5 таблицы, продлено до 31 декабря 2016 года.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Принят Областной Думой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Законодательного Собрания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Свердловской области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20 ноября 2002 года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Одобрен Палатой Представителей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Законодательного Собрания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Свердловской области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28 ноября 2002 года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(в ред. Областных законов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от 22.10.2003 N 25-ОЗ, от 25.11.2004 N 186-ОЗ,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от 21.11.2005 N 104-ОЗ, от 21.07.2006 N 60-ОЗ,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от 24.09.2007 N 86-ОЗ, от 17.10.2008 N 83-ОЗ,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от 15.06.2009 N 32-ОЗ, от 18.10.2010 N 75-ОЗ,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от 15.06.2011 N 41-ОЗ)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Статья 1. Предмет регулирования настоящего Закона Свердловской области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Настоящим Законом Свердловской области в соответствии с законодательством Российской Федерации о налогах и сборах на территории Свердловской области устанавливается и вводится в действие транспортный налог.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Статья 2. Ставки транспортного налога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Утвердить ставки транспортного налога в пределах, установленных законодательством Российской Федерации о налогах и сборах (приложение).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Статья 3. Порядок и сроки уплаты транспортного налога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1. Уплата транспортного налога производится налогоплательщиками разовой уплатой всей суммы налога по итогам налогового периода.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2. Налогоплательщики, являющиеся организациями, уплачивают налог не позднее 15 февраля года, следующего за истекшим налоговым периодом.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(в ред. Областных законов от 25.11.2004 N 186-ОЗ, от 24.09.2007 N 86-ОЗ)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Налогоплательщики, являющиеся физическими лицами, уплачивают налог не позднее 1 ноября года, следующего за истекшим налоговым периодом.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(в ред. Областных законов от 25.11.2004 N 186-ОЗ, от 24.09.2007 N 86-ОЗ, от 18.10.2010 N 75-ОЗ)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3. Уплата транспортного налога производится в безналичной форме, за исключением случаев, предусмотренных законодательством Российской Федерации о налогах и сборах.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Постановлением Уставного Суда Свердловской области от 30.09.2004 статья 4 признана не противоречащей Уставу Свердловской области.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Статья 4. Налоговые льготы по транспортному налогу и основания для их использования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1. Освобождаются от уплаты транспортного налога: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1) организации, на которых зарегистрированы транспортные средства, предназначенные для укомплектования автомобильных колонн войскового типа, - за каждое из таких транспортных средств;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2)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- за каждое зарегистрированное на них транспортное средство;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3) государственные учреждения Свердловской области и муниципальные учреждения, не имеющие доходов от предпринимательской или иной деятельности, приносящей доход, - за каждое зарегистрированное на них транспортное средство;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(подп. 3 в ред. Областного закона от 21.07.2006 N 60-ОЗ)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3-1) организации и граждане, на которых зарегистрированы легковые автомобили с мощностью двигателя до 100 лошадиных сил (до 73,55 киловатт) включительно, - за каждый такой зарегистрированный на них легковой автомобиль;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(подп. 3-1 введен Областным законом от 15.06.2011 N 41-ОЗ)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4) организации и граждане, на которых зарегистрированы автобусы, соответствующие требованиям экологического класса 4 и (или) экологического класса 5, - за каждый такой зарегистрированный на них автобус;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(подп. 4 введен Областным законом от 24.09.2007 N 86-ОЗ; в ред. Областного закона от 17.10.2008 N 83-ОЗ)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 xml:space="preserve">5) организации и индивидуальные предприниматели, осуществляющие внутригородские и (или) пригородные перевозки пассажиров автобусами, </w:t>
      </w: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если количество лет, прошедших с года их выпуска, не превышает 7, - за каждый такой зарегистрированный на них автобус.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(подп. 5 введен Областным законом от 17.10.2008 N 83-ОЗ; в ред. Областного закона от 18.10.2010 N 75-ОЗ)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6) организации - резиденты особых экономических зон, созданных на территории Свердловской области, на которых после регистрации этих организаций в качестве резидентов особых экономических зон зарегистрированы транспортные средства, - за каждое такое транспортное средство в течение одиннадцати последовательных налоговых периодов, считая с налогового периода, в котором оно зарегистрировано на эту организацию;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(подп. 6 введен Областным законом от 15.06.2011 N 41-ОЗ)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7) пенсионеры - за один зарегистрированный на них легковой автомобиль с мощностью двигателя свыше 100 лошадиных сил до 150 лошадиных сил (свыше 73,55 киловатт до 110,33 киловатт) включительно или грузовой автомобиль с мощностью двигателя до 150 лошадиных сил (до 110,33 киловатт) включительно, мотоцикл или мотороллер с мощностью двигателя до 36 лошадиных сил (до 26,47 киловатт) включительно;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(подп. 7 введен Областным законом от 15.06.2011 N 41-ОЗ)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8) инвалиды - за один зарегистрированный на них легковой автомобиль с мощностью двигателя свыше 100 лошадиных сил до 150 лошадиных сил (свыше 73,55 киловатт до 110,33 киловатт) включительно, мотоцикл или мотороллер с мощностью двигателя до 36 лошадиных сил (до 26,47 киловатт) включительно;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(подп. 8 введен Областным законом от 15.06.2011 N 41-ОЗ)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9) один из родителей или иной законный представитель, воспитывающий ребенка-инвалида, - за один зарегистрированный на него легковой автомобиль с мощностью двигателя свыше 100 лошадиных сил до 150 лошадиных сил (свыше 73,55 киловатт до 110,33 киловатт) включительно, мотоцикл или мотороллер с мощностью двигателя до 36 лошадиных сил (до 26,47 киловатт) включительно;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(подп. 9 введен Областным законом от 15.06.2011 N 41-ОЗ)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10) один из родителей или иной законный представитель, воспитывающий трех и более детей в возрасте до восемнадцати лет (без учета детей, объявленных полностью дееспособными, и детей, помещенных под надзор в организации для детей-сирот и детей, оставшихся без попечения родителей), в том числе детей, принятых в семью на воспитание, - за один зарегистрированный на него легковой автомобиль с мощностью двигателя свыше 100 лошадиных сил до 150 лошадиных сил (свыше 73,55 киловатт до 110,33 киловатт) включительно или грузовой автомобиль с мощностью двигателя до 150 лошадиных сил (до 110,33 киловатт) включительно, мотоцикл или мотороллер с мощностью двигателя до 36 лошадиных сил (до 26,47 киловатт) включительно;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(подп. 10 введен Областным законом от 15.06.2011 N 41-ОЗ)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11) один из усыновителей, воспитывающий усыновленного ребенка в возрасте до восемнадцати лет, - за один зарегистрированный на него легковой автомобиль с мощностью двигателя свыше 100 лошадиных сил до 150 лошадиных сил (свыше 73,55 киловатт до 110,33 киловатт) включительно, мотоцикл или мотороллер с мощностью двигателя до 36 лошадиных сил (до 26,47 киловатт) включительно.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(подп. 11 введен Областным законом от 15.06.2011 N 41-ОЗ)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(п. 1 в ред. Областного закона от 22.10.2003 N 25-ОЗ)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2. Транспортный налог в размере 35 процентов суммы исчисленного налога уплачивают: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1) общественные организации инвалидов - за каждое зарегистрированное на них транспортное средство, за исключением легковых автомобилей с мощностью двигателя до 100 лошадиных сил (до 73,55 киловатт) включительно;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(в ред. Областного закона от 15.06.2011 N 41-ОЗ)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2) организации, учрежденные единственным учредителем - общественной организацией инвалидов, не менее 50 процентов работников которых являются инвалидами, - за каждое зарегистрированное на таких организациях транспортное средство, за исключением легковых автомобилей с мощностью двигателя до 100 лошадиных сил (до 73,55 киловатт) включительно;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(в ред. Областного закона от 15.06.2011 N 41-ОЗ)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3) - 5) утратили силу. - Областной закон от 15.06.2011 N 41-ОЗ.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Транспортный налог в размере 40 процентов суммы исчисленного налога уплачивают организации и индивидуальные предприниматели, осуществляющие международные автомобильные перевозки, - за каждое зарегистрированное на таких организациях и индивидуальных предпринимателях транспортное средство, используемое для осуществления международных автомобильных перевозок.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(п. 2 в ред. Областного закона от 25.11.2004 N 186-ОЗ)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3. Налоговая льгота по транспортному налогу, предусмотренная в пункте 1 настоящей статьи, предоставляется организации, на которой зарегистрированы транспортные средства, предназначенные для укомплектования автомобильных колонн войскового типа, на основании: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1) письменного заявления о предоставлении налоговой льготы по транспортному налогу;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2) документов, подтверждающих, что зарегистрированные на организации транспортные средства предназначены для укомплектования автомобильных колонн войскового типа, по форме, утверждаемой Правительством Свердловской области.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(подп. 2 в ред. Областного закона от 21.07.2006 N 60-ОЗ)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Налоговая льгота по транспортному налогу, предусмотренная в пункте 1 настоящей статьи, предоставляется органу государственной власти Свердловской области или органу местного самоуправления муниципального образования, расположенного на территории Свердловской области, на основании письменного заявления о предоставлении налоговой льготы по транспортному налогу.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(введен Областным законом от 22.10.2003 N 25-ОЗ)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Налоговая льгота по транспортному налогу, предусмотренная в пункте 1 настоящей статьи, предоставляется государственному учреждению Свердловской области, муниципальному учреждению, не имеющему доходов от предпринимательской или иной деятельности, приносящей доход, на основании: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1) письменного заявления о предоставлении налоговой льготы по транспортному налогу;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2) копий учредительных документов;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 xml:space="preserve">3) документа, выданного органом, исполняющим бюджет, за счет средств которого финансируется учреждение, об отсутствии у государственного учреждения Свердловской области, муниципального учреждения доходов от предпринимательской или иной деятельности, приносящей доход, в </w:t>
      </w: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налоговом периоде, в котором возникло право на получение налоговой льготы по транспортному налогу.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(часть третья в ред. Областного закона от 21.07.2006 N 60-ОЗ)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Налоговая льгота по транспортному налогу, предусмотренная в пункте 1 настоящей статьи, предоставляется организации или гражданину, на которых зарегистрирован легковой автомобиль с мощностью двигателя до 100 лошадиных сил (до 73,55 киловатт) включительно, на основании сведений, представляемых в соответствии с федеральным законом органами, осуществляющими государственную регистрацию транспортных средств, в налоговые органы.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(часть введена Областным законом от 15.06.2011 N 41-ОЗ)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Налоговая льгота по транспортному налогу, предусмотренная в пункте 1 настоящей статьи, предоставляется организации или гражданину, на которых зарегистрирован автобус, соответствующий требованиям экологического класса 4 и (или) экологического класса 5, на основании: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(в ред. Областного закона от 17.10.2008 N 83-ОЗ)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1) письменного заявления о предоставлении налоговой льготы по транспортному налогу;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2) копий паспортов транспортных средств с указанием экологического класса.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(часть четвертая введена Областным законом от 24.09.2007 N 86-ОЗ)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 xml:space="preserve">Налоговая льгота по транспортному налогу, предусмотренная в пункте 1 настоящей статьи, предоставляется организации или индивидуальному предпринимателю, осуществляющим внутригородские и (или) </w:t>
      </w: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пригородные перевозки пассажиров автобусами, если количество лет, прошедших с года их выпуска, не превышает 7, на основании: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(в ред. Областного закона от 18.10.2010 N 75-ОЗ)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1) письменного заявления о предоставлении налоговой льготы по транспортному налогу;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2) копий паспортов транспортных средств;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3) документов, подтверждающих осуществление этими автобусами в истекшем налоговом периоде внутригородских и (или) пригородных перевозок.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(часть пятая введена Областным законом от 17.10.2008 N 83-ОЗ)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Количество лет, прошедших с года выпуска автобуса, определяется по состоянию на 1 января текущего года в календарных годах с года, следующего за годом выпуска автобуса.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(часть шестая введена Областным законом от 18.10.2010 N 75-ОЗ)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Налоговая льгота по транспортному налогу, предусмотренная в пункте 1 настоящей статьи, предоставляется организации - резиденту особой экономической зоны, созданной на территории Свердловской области, на основании: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1) письменного заявления о предоставлении налоговой льготы по транспортному налогу;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2) копии свидетельства, удостоверяющего регистрацию лица в качестве резидента особой экономической зоны, созданной на территории Свердловской области;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3) копий паспортов транспортных средств.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(часть введена Областным законом от 15.06.2011 N 41-ОЗ)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Налоговая льгота по транспортному налогу, предусмотренная в пункте 1 настоящей статьи, предоставляется пенсионеру или инвалиду на основании: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1) письменного заявления о предоставлении налоговой льготы по транспортному налогу;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2) пенсионного удостоверения, удостоверения об инвалидности или справки, подтверждающей факт установления инвалидности.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(часть введена Областным законом от 15.06.2011 N 41-ОЗ)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Налоговая льгота по транспортному налогу, предусмотренная в пункте 1 настоящей статьи, предоставляется одному из родителей или иному законному представителю, воспитывающему ребенка-инвалида, на основании: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1) письменного заявления о предоставлении налоговой льготы по транспортному налогу;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2) копий документов, подтверждающих факт установления инвалидности;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3) копии свидетельства о рождении ребенка;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4) документов, подтверждающих факт установления опеки или попечительства.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(часть введена Областным законом от 15.06.2011 N 41-ОЗ)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 xml:space="preserve">Налоговая льгота по транспортному налогу, предусмотренная в пункте 1 настоящей статьи, предоставляется одному из родителей или иному законному представителю, воспитывающему трех и более детей в возрасте до восемнадцати лет (без учета детей, объявленных полностью </w:t>
      </w: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дееспособными, и детей, помещенных под надзор в организации для детей-сирот и детей, оставшихся без попечения родителей), в том числе детей, принятых в семью на воспитание, на основании: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1) письменного заявления о предоставлении налоговой льготы по транспортному налогу;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2) удостоверения многодетной семьи Свердловской области, подтверждающего право на получение мер социальной поддержки;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3) копий свидетельств о рождении детей;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4) документов, подтверждающих факт установления опеки или попечительства.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(часть введена Областным законом от 15.06.2011 N 41-ОЗ)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Налоговая льгота по транспортному налогу, предусмотренная в пункте 1 настоящей статьи, предоставляется одному из усыновителей, воспитывающему усыновленного ребенка в возрасте до восемнадцати лет, на основании: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1) письменного заявления о предоставлении налоговой льготы по транспортному налогу;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2) копии решения суда об усыновлении (удочерении) ребенка;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3) копии свидетельства о рождении ребенка.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(часть введена Областным законом от 15.06.2011 N 41-ОЗ)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Налоговая льгота по транспортному налогу, предусмотренная в части первой пункта 2 настоящей статьи, предоставляется общественной организации инвалидов на основании: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(в ред. Областного закона от 25.11.2004 N 186-ОЗ)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1) письменного заявления о предоставлении налоговой льготы по транспортному налогу;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2) копий учредительных документов.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Налоговая льгота по транспортному налогу, предусмотренная в части первой пункта 2 настоящей статьи, предоставляется организации, учрежденной единственным учредителем - общественной организацией инвалидов, не менее 50 процентов работников которой являются инвалидами, на основании: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(в ред. Областного закона от 25.11.2004 N 186-ОЗ)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1) письменного заявления о предоставлении налоговой льготы по транспортному налогу;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2) копий учредительных документов;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3) документов, подтверждающих, что среднесписочная численность инвалидов в организации за год составляет не менее 50 процентов от среднесписочной численности работников организации за соответствующий год.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Части девятая - десятая утратили силу. - Областной закон от 15.06.2011 N 41-ОЗ.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Налоговая льгота по транспортному налогу, предусмотренная в части второй пункта 2 настоящей статьи, предоставляется организации или индивидуальному предпринимателю, осуществляющему международные автомобильные перевозки, на основании: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1) письменного заявления о предоставлении налоговой льготы по транспортному налогу;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2) документов, подтверждающих совершение в истекшем налоговом периоде международных автомобильных перевозок.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(в ред. Областных законов от 25.11.2004 N 186-ОЗ, от 24.09.2007 N 86-ОЗ)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4. Организации представляют документы, необходимые для предоставления налоговых льгот по транспортному налогу, в налоговый орган по месту нахождения транспортных средств одновременно с представлением налоговой декларации по транспортному налогу.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Физические лица представляют документы, необходимые для предоставления налоговых льгот по транспортному налогу, в налоговый орган по месту нахождения транспортных средств до 30 января года, следующего за истекшим налоговым периодом.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(в ред. Областных законов от 25.11.2004 N 186-ОЗ, от 24.09.2007 N 86-ОЗ, от 15.06.2009 N 32-ОЗ)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Статья 5. Утратила силу. - Областной закон от 21.07.2006 N 60-ОЗ.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Статья 6. Вступление в силу настоящего Закона Свердловской области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Настоящий Закон Свердловской области вступает в силу с 1 января 2003 года.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lastRenderedPageBreak/>
        <w:t>Губернатор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Свердловской области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Э.Э.РОССЕЛЬ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Приложение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к Областному закону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"Об установлении и введении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в действие транспортного налога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на территории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Свердловской области"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СТАВКИ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ТРАНСПОРТНОГО НАЛОГА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(в ред. Областного закона от 15.06.2011 N 41-ОЗ)</w:t>
      </w:r>
    </w:p>
    <w:p w:rsidR="00364173" w:rsidRPr="00364173" w:rsidRDefault="00364173" w:rsidP="00364173">
      <w:pPr>
        <w:shd w:val="clear" w:color="auto" w:fill="FFFFFF"/>
        <w:spacing w:after="30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364173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 </w:t>
      </w:r>
    </w:p>
    <w:tbl>
      <w:tblPr>
        <w:tblW w:w="8730" w:type="dxa"/>
        <w:tblBorders>
          <w:top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40"/>
        <w:gridCol w:w="1601"/>
        <w:gridCol w:w="1601"/>
        <w:gridCol w:w="1601"/>
      </w:tblGrid>
      <w:tr w:rsidR="00364173" w:rsidRPr="00364173" w:rsidTr="00364173">
        <w:trPr>
          <w:trHeight w:val="9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Номер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строки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Наименование объекта налогообложения  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(единица измерения налоговой базы, на которую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производятся налоговые начисления) или 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lastRenderedPageBreak/>
              <w:t>физическая характеристика объекта   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налогообложения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lastRenderedPageBreak/>
              <w:t>Налоговая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ставка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с 1 января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по 31 декабря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2011 года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включительно,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lastRenderedPageBreak/>
              <w:t>в рублях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lastRenderedPageBreak/>
              <w:t>Налоговая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ставка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с 1 января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по 31 декабря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2012 года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включительно,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lastRenderedPageBreak/>
              <w:t>в рублях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lastRenderedPageBreak/>
              <w:t>Налоговая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ставка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с 1 января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по 31 декабря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2013 года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включительно,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lastRenderedPageBreak/>
              <w:t>в рублях  </w:t>
            </w:r>
          </w:p>
        </w:tc>
      </w:tr>
      <w:tr w:rsidR="00364173" w:rsidRPr="00364173" w:rsidTr="00364173">
        <w:trPr>
          <w:trHeight w:val="24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lastRenderedPageBreak/>
              <w:t>1  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2                      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4     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5     </w:t>
            </w:r>
          </w:p>
        </w:tc>
      </w:tr>
      <w:tr w:rsidR="00364173" w:rsidRPr="00364173" w:rsidTr="0036417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Автомобили легковые с мощностью двигателя  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(с каждой лошадиной силы):     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</w:tr>
      <w:tr w:rsidR="00364173" w:rsidRPr="00364173" w:rsidTr="0036417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свыше 100 л. с. до 150 л. с. (свыше 73,55 кВт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до 110,33 кВт) включительно    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19,1   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13,4   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9,4   </w:t>
            </w:r>
          </w:p>
        </w:tc>
      </w:tr>
      <w:tr w:rsidR="00364173" w:rsidRPr="00364173" w:rsidTr="0036417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свыше 150 л. с. до 200 л. с. (свыше 110,33 кВт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до 147,1 кВт) включительно     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40,3   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36,3   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32,7   </w:t>
            </w:r>
          </w:p>
        </w:tc>
      </w:tr>
      <w:tr w:rsidR="00364173" w:rsidRPr="00364173" w:rsidTr="0036417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свыше 200 л. с. до 250 л. с. (свыше 147,1 кВт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до 183,9 кВт) включительно     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61,2   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55,1   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49,6   </w:t>
            </w:r>
          </w:p>
        </w:tc>
      </w:tr>
      <w:tr w:rsidR="00364173" w:rsidRPr="00364173" w:rsidTr="00364173">
        <w:trPr>
          <w:trHeight w:val="24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свыше 250 л. с. (свыше 183,9 кВт)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122,4   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110,2   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99,2   </w:t>
            </w:r>
          </w:p>
        </w:tc>
      </w:tr>
      <w:tr w:rsidR="00364173" w:rsidRPr="00364173" w:rsidTr="0036417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Мотоциклы и мотороллеры с мощностью двигателя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(с каждой лошадиной силы):     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</w:tr>
      <w:tr w:rsidR="00364173" w:rsidRPr="00364173" w:rsidTr="00364173">
        <w:trPr>
          <w:trHeight w:val="24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до 20 л. с. (до 14,7 кВт) включительно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5,6   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5,0   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4,5   </w:t>
            </w:r>
          </w:p>
        </w:tc>
      </w:tr>
      <w:tr w:rsidR="00364173" w:rsidRPr="00364173" w:rsidTr="0036417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свыше 20 л. с. до 35 л. с. (свыше 14,7 кВт 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до 25,74 кВт) включительно     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11,6   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10,4   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9,4   </w:t>
            </w:r>
          </w:p>
        </w:tc>
      </w:tr>
      <w:tr w:rsidR="00364173" w:rsidRPr="00364173" w:rsidTr="0036417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свыше 35 л. с. до 36 л. с. (свыше 25,74 кВт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до 26,47 кВт) включительно     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11,6   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10,4   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9,4   </w:t>
            </w:r>
          </w:p>
        </w:tc>
      </w:tr>
      <w:tr w:rsidR="00364173" w:rsidRPr="00364173" w:rsidTr="00364173">
        <w:trPr>
          <w:trHeight w:val="24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свыше 36 л. с. (свыше 26,47 кВт)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40,7   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36,6   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32,9   </w:t>
            </w:r>
          </w:p>
        </w:tc>
      </w:tr>
      <w:tr w:rsidR="00364173" w:rsidRPr="00364173" w:rsidTr="0036417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Автобусы с мощностью двигателя             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(с каждой лошадиной силы):     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</w:tr>
      <w:tr w:rsidR="00364173" w:rsidRPr="00364173" w:rsidTr="00364173">
        <w:trPr>
          <w:trHeight w:val="24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до 200 л. с. (до 147,1 кВт) включительно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40,6   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36,5   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32,9   </w:t>
            </w:r>
          </w:p>
        </w:tc>
      </w:tr>
      <w:tr w:rsidR="00364173" w:rsidRPr="00364173" w:rsidTr="00364173">
        <w:trPr>
          <w:trHeight w:val="24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свыше 200 л. с. (свыше 147,1 кВт)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81,8   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73,6   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66,2   </w:t>
            </w:r>
          </w:p>
        </w:tc>
      </w:tr>
      <w:tr w:rsidR="00364173" w:rsidRPr="00364173" w:rsidTr="0036417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Грузовые автомобили с мощностью двигателя  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(с каждой лошадиной силы):     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</w:tr>
      <w:tr w:rsidR="00364173" w:rsidRPr="00364173" w:rsidTr="00364173">
        <w:trPr>
          <w:trHeight w:val="24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до 100 л. с. (до 73,55 кВт) включительно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15,0   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10,5   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7,3   </w:t>
            </w:r>
          </w:p>
        </w:tc>
      </w:tr>
      <w:tr w:rsidR="00364173" w:rsidRPr="00364173" w:rsidTr="0036417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свыше 100 л. с. до 150 л. с. (свыше 73,55 кВт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lastRenderedPageBreak/>
              <w:t>до 110,33 кВт) включительно    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lastRenderedPageBreak/>
              <w:t>24,0   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16,8   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11,7   </w:t>
            </w:r>
          </w:p>
        </w:tc>
      </w:tr>
      <w:tr w:rsidR="00364173" w:rsidRPr="00364173" w:rsidTr="0036417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свыше 150 л. с. до 200 л. с. (свыше 110,33 кВт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до 147,1 кВт) включительно     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30,0   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21,0   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14,7   </w:t>
            </w:r>
          </w:p>
        </w:tc>
      </w:tr>
      <w:tr w:rsidR="00364173" w:rsidRPr="00364173" w:rsidTr="0036417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свыше 200 л. с. до 250 л. с. (свыше 147,1 кВт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до 183,9 кВт) включительно     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39,0   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27,3   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19,1   </w:t>
            </w:r>
          </w:p>
        </w:tc>
      </w:tr>
      <w:tr w:rsidR="00364173" w:rsidRPr="00364173" w:rsidTr="00364173">
        <w:trPr>
          <w:trHeight w:val="24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свыше 250 л. с. (свыше 183,9 кВт)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69,3   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62,4   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56,2   </w:t>
            </w:r>
          </w:p>
        </w:tc>
      </w:tr>
      <w:tr w:rsidR="00364173" w:rsidRPr="00364173" w:rsidTr="00364173">
        <w:trPr>
          <w:trHeight w:val="48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Другие самоходные транспортные средства, машины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и механизмы на пневматическом и гусеничном ходу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(с каждой лошадиной силы)      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19,8   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17,8   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16,0   </w:t>
            </w:r>
          </w:p>
        </w:tc>
      </w:tr>
      <w:tr w:rsidR="00364173" w:rsidRPr="00364173" w:rsidTr="0036417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Снегоходы, мотосани с мощностью двигателя  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(с каждой лошадиной силы):      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</w:tr>
      <w:tr w:rsidR="00364173" w:rsidRPr="00364173" w:rsidTr="00364173">
        <w:trPr>
          <w:trHeight w:val="24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до 50 л. с. (до 36,77 кВт) включительно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20,7   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18,6   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16,7   </w:t>
            </w:r>
          </w:p>
        </w:tc>
      </w:tr>
      <w:tr w:rsidR="00364173" w:rsidRPr="00364173" w:rsidTr="00364173">
        <w:trPr>
          <w:trHeight w:val="24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свыше 50 л. с. (свыше 36,77 кВт)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40,5   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36,5   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32,9   </w:t>
            </w:r>
          </w:p>
        </w:tc>
      </w:tr>
      <w:tr w:rsidR="00364173" w:rsidRPr="00364173" w:rsidTr="00364173">
        <w:trPr>
          <w:trHeight w:val="48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Катера, моторные лодки и другие водные     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транспортные средства с мощностью двигателя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(с каждой лошадиной силы):     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</w:tr>
      <w:tr w:rsidR="00364173" w:rsidRPr="00364173" w:rsidTr="00364173">
        <w:trPr>
          <w:trHeight w:val="24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до 100 л. с. (до 73,55 кВт) включительно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40,5   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36,5   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32,9   </w:t>
            </w:r>
          </w:p>
        </w:tc>
      </w:tr>
      <w:tr w:rsidR="00364173" w:rsidRPr="00364173" w:rsidTr="00364173">
        <w:trPr>
          <w:trHeight w:val="24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свыше 100 л. с. (свыше 73,55 кВт)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81,0   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72,9   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65,6   </w:t>
            </w:r>
          </w:p>
        </w:tc>
      </w:tr>
      <w:tr w:rsidR="00364173" w:rsidRPr="00364173" w:rsidTr="0036417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Яхты и другие парусно-моторные суда с мощностью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двигателя (с каждой лошадиной силы):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</w:tr>
      <w:tr w:rsidR="00364173" w:rsidRPr="00364173" w:rsidTr="00364173">
        <w:trPr>
          <w:trHeight w:val="24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до 100 л. с. (до 73,55 кВт) включительно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81,0   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72,9   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65,6   </w:t>
            </w:r>
          </w:p>
        </w:tc>
      </w:tr>
      <w:tr w:rsidR="00364173" w:rsidRPr="00364173" w:rsidTr="00364173">
        <w:trPr>
          <w:trHeight w:val="24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свыше 100 л. с. (свыше 73,55 кВт)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162,0   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145,8   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131,2   </w:t>
            </w:r>
          </w:p>
        </w:tc>
      </w:tr>
      <w:tr w:rsidR="00364173" w:rsidRPr="00364173" w:rsidTr="0036417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Гидроциклы с мощностью двигателя           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(с каждой лошадиной силы):     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 </w:t>
            </w:r>
          </w:p>
        </w:tc>
      </w:tr>
      <w:tr w:rsidR="00364173" w:rsidRPr="00364173" w:rsidTr="00364173">
        <w:trPr>
          <w:trHeight w:val="24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до 100 л. с. (до 73,55 кВт) включительно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101,7   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91,5   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82,4   </w:t>
            </w:r>
          </w:p>
        </w:tc>
      </w:tr>
      <w:tr w:rsidR="00364173" w:rsidRPr="00364173" w:rsidTr="00364173">
        <w:trPr>
          <w:trHeight w:val="24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свыше 100 л. с. (свыше 73,55 кВт)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202,6   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182,3   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164,1   </w:t>
            </w:r>
          </w:p>
        </w:tc>
      </w:tr>
      <w:tr w:rsidR="00364173" w:rsidRPr="00364173" w:rsidTr="00364173">
        <w:trPr>
          <w:trHeight w:val="48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lastRenderedPageBreak/>
              <w:t>33.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Несамоходные (буксируемые) суда, для которых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определяется валовая вместимость (с каждой 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регистровой тонны валовой вместимости)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81,1   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73,0   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65,7   </w:t>
            </w:r>
          </w:p>
        </w:tc>
      </w:tr>
      <w:tr w:rsidR="00364173" w:rsidRPr="00364173" w:rsidTr="0036417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Самолеты, вертолеты и иные воздушные суда, 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имеющие двигатели (с каждой лошадиной силы)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101,8   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91,6   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82,4   </w:t>
            </w:r>
          </w:p>
        </w:tc>
      </w:tr>
      <w:tr w:rsidR="00364173" w:rsidRPr="00364173" w:rsidTr="00364173">
        <w:trPr>
          <w:trHeight w:val="36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Самолеты, имеющие реактивные двигатели     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(с каждого килограмма силы тяги)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81,0   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72,9   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65,6   </w:t>
            </w:r>
          </w:p>
        </w:tc>
      </w:tr>
      <w:tr w:rsidR="00364173" w:rsidRPr="00364173" w:rsidTr="00364173">
        <w:trPr>
          <w:trHeight w:val="480"/>
        </w:trPr>
        <w:tc>
          <w:tcPr>
            <w:tcW w:w="945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648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Другие водные и воздушные транспортные     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средства, не имеющие двигателей (с единицы    </w:t>
            </w: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br/>
              <w:t>транспортного средства)                    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810,0   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729,0   </w:t>
            </w:r>
          </w:p>
        </w:tc>
        <w:tc>
          <w:tcPr>
            <w:tcW w:w="1890" w:type="dxa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64173" w:rsidRPr="00364173" w:rsidRDefault="00364173" w:rsidP="0036417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</w:pPr>
            <w:r w:rsidRPr="00364173">
              <w:rPr>
                <w:rFonts w:ascii="Arial" w:eastAsia="Times New Roman" w:hAnsi="Arial" w:cs="Arial"/>
                <w:color w:val="2F2F2F"/>
                <w:sz w:val="21"/>
                <w:szCs w:val="21"/>
                <w:lang w:eastAsia="ru-RU"/>
              </w:rPr>
              <w:t>656,1   </w:t>
            </w:r>
          </w:p>
        </w:tc>
      </w:tr>
    </w:tbl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94"/>
    <w:rsid w:val="00364173"/>
    <w:rsid w:val="00C0089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1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1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1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3201</Words>
  <Characters>18247</Characters>
  <Application>Microsoft Office Word</Application>
  <DocSecurity>0</DocSecurity>
  <Lines>152</Lines>
  <Paragraphs>42</Paragraphs>
  <ScaleCrop>false</ScaleCrop>
  <Company/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2016-08-01T12:06:00Z</dcterms:created>
  <dcterms:modified xsi:type="dcterms:W3CDTF">2016-08-01T12:06:00Z</dcterms:modified>
</cp:coreProperties>
</file>