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EA" w:rsidRPr="007350EA" w:rsidRDefault="007350EA" w:rsidP="007350EA">
      <w:pPr>
        <w:pBdr>
          <w:left w:val="single" w:sz="24" w:space="15" w:color="C00000"/>
        </w:pBdr>
        <w:shd w:val="clear" w:color="auto" w:fill="FFFFFF"/>
        <w:spacing w:before="630" w:after="315" w:line="510" w:lineRule="atLeast"/>
        <w:textAlignment w:val="baseline"/>
        <w:outlineLvl w:val="1"/>
        <w:rPr>
          <w:rFonts w:ascii="Times New Roman" w:eastAsia="Times New Roman" w:hAnsi="Times New Roman" w:cs="Times New Roman"/>
          <w:color w:val="2F2F2F"/>
          <w:sz w:val="42"/>
          <w:szCs w:val="42"/>
          <w:lang w:eastAsia="ru-RU"/>
        </w:rPr>
      </w:pPr>
      <w:r w:rsidRPr="007350EA">
        <w:rPr>
          <w:rFonts w:ascii="Times New Roman" w:eastAsia="Times New Roman" w:hAnsi="Times New Roman" w:cs="Times New Roman"/>
          <w:color w:val="2F2F2F"/>
          <w:sz w:val="42"/>
          <w:szCs w:val="42"/>
          <w:lang w:eastAsia="ru-RU"/>
        </w:rPr>
        <w:t>Челябинская область</w:t>
      </w:r>
    </w:p>
    <w:p w:rsidR="007350EA" w:rsidRPr="007350EA" w:rsidRDefault="007350EA" w:rsidP="007350EA">
      <w:pPr>
        <w:pBdr>
          <w:left w:val="single" w:sz="24" w:space="15" w:color="C00000"/>
        </w:pBdr>
        <w:shd w:val="clear" w:color="auto" w:fill="FFFFFF"/>
        <w:spacing w:before="630" w:after="315" w:line="510" w:lineRule="atLeast"/>
        <w:textAlignment w:val="baseline"/>
        <w:outlineLvl w:val="1"/>
        <w:rPr>
          <w:rFonts w:ascii="Times New Roman" w:eastAsia="Times New Roman" w:hAnsi="Times New Roman" w:cs="Times New Roman"/>
          <w:color w:val="2F2F2F"/>
          <w:sz w:val="42"/>
          <w:szCs w:val="42"/>
          <w:lang w:eastAsia="ru-RU"/>
        </w:rPr>
      </w:pPr>
      <w:proofErr w:type="gramStart"/>
      <w:r w:rsidRPr="007350EA">
        <w:rPr>
          <w:rFonts w:ascii="Times New Roman" w:eastAsia="Times New Roman" w:hAnsi="Times New Roman" w:cs="Times New Roman"/>
          <w:color w:val="2F2F2F"/>
          <w:sz w:val="42"/>
          <w:szCs w:val="42"/>
          <w:lang w:eastAsia="ru-RU"/>
        </w:rPr>
        <w:t>З</w:t>
      </w:r>
      <w:proofErr w:type="gramEnd"/>
      <w:r w:rsidRPr="007350EA">
        <w:rPr>
          <w:rFonts w:ascii="Times New Roman" w:eastAsia="Times New Roman" w:hAnsi="Times New Roman" w:cs="Times New Roman"/>
          <w:color w:val="2F2F2F"/>
          <w:sz w:val="42"/>
          <w:szCs w:val="42"/>
          <w:lang w:eastAsia="ru-RU"/>
        </w:rPr>
        <w:t xml:space="preserve"> а к о н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О транспортном налоге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[редакция от 29.10.2009]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top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28.11.2002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top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t>№ 114-ЗО</w:t>
      </w:r>
    </w:p>
    <w:p w:rsidR="007350EA" w:rsidRPr="007350EA" w:rsidRDefault="007350EA" w:rsidP="00735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0EA"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  <w:br/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righ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bookmarkStart w:id="0" w:name="_GoBack"/>
      <w:bookmarkEnd w:id="0"/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Принят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righ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постановлением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righ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Законодательного собрания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righ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Челябинской области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righ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от 28 ноября 2002 г. N 703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 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proofErr w:type="gramStart"/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(в ред. Законов Челябинской области</w:t>
      </w:r>
      <w:proofErr w:type="gramEnd"/>
    </w:p>
    <w:p w:rsidR="007350EA" w:rsidRPr="007350EA" w:rsidRDefault="007350EA" w:rsidP="007350EA">
      <w:pPr>
        <w:shd w:val="clear" w:color="auto" w:fill="FFFFFF"/>
        <w:spacing w:after="0" w:line="465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от 26.06.2003 N 164-ЗО, от 27.11.2003 N 185-ЗО,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от 24.06.2004 N 232-ЗО, от 30.11.2004 N 318-ЗО,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от 24.11.2005 N 421-ЗО, от 25.05.2006 N 27-ЗО,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от 27.09.2007 N 196-ЗО, от 30.09.2008 N 312-ЗО,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от 29.01.2009 N 351-ЗО, от 27.08.2009 N 458-ЗО,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от 29.10.2009 N 487-ЗО)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 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ind w:firstLine="540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Статья 1. Общие положения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 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ind w:firstLine="540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 xml:space="preserve">1. Настоящий Закон в соответствии с Налоговым кодексом Российской Федерации вводит на территории Челябинской области транспортный налог (далее - налог), определяет ставку транспортного налога в пределах, установленных статьей 361 </w:t>
      </w: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lastRenderedPageBreak/>
        <w:t>Налогового кодекса Российской Федерации, порядок и сроки его уплаты, налоговые льготы и основания для их использования налогоплательщиками.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 xml:space="preserve"> ред. Закона Челябинской области от 24.11.2005 N 421-ЗО)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ind w:firstLine="540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2. Налогоплательщики, объект налогообложения, налоговая база, налоговый период, отчетные периоды и порядок исчисления транспортного налога устанавливаются Налоговым кодексом Российской Федерации.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 xml:space="preserve"> ред. Закона Челябинской области от 27.09.2007 N 196-ЗО)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 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ind w:firstLine="540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Статья 2. Налоговые ставки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 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ind w:firstLine="540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(в ред. Закона Челябинской области от 27.11.2003 N 185-ЗО)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 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ind w:firstLine="540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Налоговые ставки устанавливаются соответственно в зависимости от мощности двигателя, тяги реактивного двигателя или валовой вместимости транспортных средств, категории транспортных сре</w:t>
      </w:r>
      <w:proofErr w:type="gramStart"/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дств в р</w:t>
      </w:r>
      <w:proofErr w:type="gramEnd"/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асчете на одну лошадиную силу мощности двигателя транспортного средства, один килограмм силы тяги реактивного двигателя, одну регистровую тонну транспортного средства или единицу транспортного средства в следующих размерах: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(в ред. Закона Челябинской области от 24.11.2005 N 421-ЗО)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 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┌──────────────────────────────┬──────────────────────────────────────────┐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Наименование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Налоговая ставка (в рублях)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объекта налогообложения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├──────────────┬─────────────┬─────────────┤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  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с 1 января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 с 1 января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 с 1 января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  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│по 31 декабря │по 31 декабря│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2011 года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  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2009 года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2010 года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  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 включительно │</w:t>
      </w:r>
      <w:proofErr w:type="gram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включительно</w:t>
      </w:r>
      <w:proofErr w:type="gramEnd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 xml:space="preserve"> 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├──────────────────────────────┼──────────────┼─────────────┼─────────────┤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1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2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3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4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├──────────────────────────────┼──────────────┼─────────────┼─────────────┤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│Автомобили легковые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lastRenderedPageBreak/>
        <w:t>│с мощностью двигателя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│(с каждой лошадиной силы):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 xml:space="preserve">│до 100 </w:t>
      </w:r>
      <w:proofErr w:type="spell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л.с</w:t>
      </w:r>
      <w:proofErr w:type="spellEnd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. (до 73,55 кВт)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6,7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7,2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7,7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│включительно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 xml:space="preserve">│свыше 100 </w:t>
      </w:r>
      <w:proofErr w:type="spell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л.с</w:t>
      </w:r>
      <w:proofErr w:type="spellEnd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 xml:space="preserve">. до 150 </w:t>
      </w:r>
      <w:proofErr w:type="spell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л.с</w:t>
      </w:r>
      <w:proofErr w:type="spellEnd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.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12,6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15,9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20,0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proofErr w:type="gram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│(свыше 73,55 кВт до 110,33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proofErr w:type="gramEnd"/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proofErr w:type="gram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│кВт) включительно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proofErr w:type="gramEnd"/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 xml:space="preserve">│свыше 150 </w:t>
      </w:r>
      <w:proofErr w:type="spell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л.с</w:t>
      </w:r>
      <w:proofErr w:type="spellEnd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 xml:space="preserve">. до 200 </w:t>
      </w:r>
      <w:proofErr w:type="spell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л.с</w:t>
      </w:r>
      <w:proofErr w:type="spellEnd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.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22,4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33,5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50,0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proofErr w:type="gram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│(свыше 110,33 кВт до 147,1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proofErr w:type="gramEnd"/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proofErr w:type="gram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│кВт) включительно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proofErr w:type="gramEnd"/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 xml:space="preserve">│свыше 200 </w:t>
      </w:r>
      <w:proofErr w:type="spell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л.с</w:t>
      </w:r>
      <w:proofErr w:type="spellEnd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 xml:space="preserve">. до 250 </w:t>
      </w:r>
      <w:proofErr w:type="spell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л.с</w:t>
      </w:r>
      <w:proofErr w:type="spellEnd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.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36,1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52,1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75,0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│(свыше 147,1 кВт до 183,9 кВт)│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│включительно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proofErr w:type="gram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 xml:space="preserve">│свыше 250 </w:t>
      </w:r>
      <w:proofErr w:type="spell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л.с</w:t>
      </w:r>
      <w:proofErr w:type="spellEnd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. (свыше 183,9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56,9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92,4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150,0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proofErr w:type="gramEnd"/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proofErr w:type="gram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│кВт)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proofErr w:type="gramEnd"/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├──────────────────────────────┼──────────────┼─────────────┼─────────────┤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 xml:space="preserve">│Мотоциклы и мотороллеры </w:t>
      </w:r>
      <w:proofErr w:type="gram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с</w:t>
      </w:r>
      <w:proofErr w:type="gramEnd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proofErr w:type="gram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│мощностью двигателя (с каждой 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proofErr w:type="gramEnd"/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│лошадиной силы):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 xml:space="preserve">│до 20 </w:t>
      </w:r>
      <w:proofErr w:type="spell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л.с</w:t>
      </w:r>
      <w:proofErr w:type="spellEnd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. (до 14,7 кВт)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4,0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4,3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4,6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│включительно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 xml:space="preserve">│свыше 20 </w:t>
      </w:r>
      <w:proofErr w:type="spell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л.с</w:t>
      </w:r>
      <w:proofErr w:type="spellEnd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 xml:space="preserve">. до 35 </w:t>
      </w:r>
      <w:proofErr w:type="spell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л.с</w:t>
      </w:r>
      <w:proofErr w:type="spellEnd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.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6,7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7,2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7,7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proofErr w:type="gram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│(свыше 14,7 кВт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proofErr w:type="gramEnd"/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│до 25,74 кВт) включительно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 xml:space="preserve">│свыше 35 </w:t>
      </w:r>
      <w:proofErr w:type="spell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л.с</w:t>
      </w:r>
      <w:proofErr w:type="spellEnd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 xml:space="preserve">. до 36 </w:t>
      </w:r>
      <w:proofErr w:type="spell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л.с</w:t>
      </w:r>
      <w:proofErr w:type="spellEnd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.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6,7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7,2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7,7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proofErr w:type="gram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│(свыше 25,74 кВт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proofErr w:type="gramEnd"/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│до 26,47 кВт) включительно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proofErr w:type="gram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 xml:space="preserve">│свыше 36 </w:t>
      </w:r>
      <w:proofErr w:type="spell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л.с</w:t>
      </w:r>
      <w:proofErr w:type="spellEnd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. (свыше 26,47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22,4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33,5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50,0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proofErr w:type="gramEnd"/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proofErr w:type="gram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│кВт)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proofErr w:type="gramEnd"/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│(позиция вторая в ред. Закона Челябинской области от 29.01.2009 N 351-ЗО)│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├──────────────────────────────┼──────────────┼─────────────┼─────────────┤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lastRenderedPageBreak/>
        <w:t xml:space="preserve">│свыше 20 </w:t>
      </w:r>
      <w:proofErr w:type="spell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л.с</w:t>
      </w:r>
      <w:proofErr w:type="spellEnd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 xml:space="preserve">. до 36 </w:t>
      </w:r>
      <w:proofErr w:type="spell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л.с</w:t>
      </w:r>
      <w:proofErr w:type="spellEnd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.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6,7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7,2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7,7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│(свыше 14,7 кВт до 26,47 кВт) 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│включительно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proofErr w:type="gram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 xml:space="preserve">│свыше 36 </w:t>
      </w:r>
      <w:proofErr w:type="spell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л.с</w:t>
      </w:r>
      <w:proofErr w:type="spellEnd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. (свыше 26,47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22,4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33,5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50,0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proofErr w:type="gramEnd"/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proofErr w:type="gram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│кВт)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proofErr w:type="gramEnd"/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├──────────────────────────────┼──────────────┼─────────────┼─────────────┤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│Автобусы с мощностью двигателя│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│(с каждой лошадиной силы):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 xml:space="preserve">│до 200 </w:t>
      </w:r>
      <w:proofErr w:type="spell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л.с</w:t>
      </w:r>
      <w:proofErr w:type="spellEnd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. (до 147,1 кВт)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27,1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36,8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50,0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│включительно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proofErr w:type="gram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 xml:space="preserve">│свыше 200 </w:t>
      </w:r>
      <w:proofErr w:type="spell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л.с</w:t>
      </w:r>
      <w:proofErr w:type="spellEnd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. (свыше 147,1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54,30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73,7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100,0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proofErr w:type="gramEnd"/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proofErr w:type="gram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│кВт)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proofErr w:type="gramEnd"/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├──────────────────────────────┼──────────────┼─────────────┼─────────────┤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│Грузовые автомобили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│с мощностью двигателя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│(с каждой лошадиной силы):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 xml:space="preserve">│до 100 </w:t>
      </w:r>
      <w:proofErr w:type="spell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л.с</w:t>
      </w:r>
      <w:proofErr w:type="spellEnd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. (до 73,55 кВт)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16,7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20,5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25,0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│включительно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 xml:space="preserve">│свыше 100 </w:t>
      </w:r>
      <w:proofErr w:type="spell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л.с</w:t>
      </w:r>
      <w:proofErr w:type="spellEnd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 xml:space="preserve">. до 150 </w:t>
      </w:r>
      <w:proofErr w:type="spell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л.с</w:t>
      </w:r>
      <w:proofErr w:type="spellEnd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.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30,9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35,1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40,0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proofErr w:type="gram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│(свыше 73,55 кВт до 110,33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proofErr w:type="gramEnd"/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proofErr w:type="gram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│кВт) включительно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proofErr w:type="gramEnd"/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 xml:space="preserve">│свыше 150 </w:t>
      </w:r>
      <w:proofErr w:type="spell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л.с</w:t>
      </w:r>
      <w:proofErr w:type="spellEnd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 xml:space="preserve">. до 200 </w:t>
      </w:r>
      <w:proofErr w:type="spell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л.с</w:t>
      </w:r>
      <w:proofErr w:type="spellEnd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.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37,60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43,40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50,00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proofErr w:type="gram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│(свыше 110,33 кВт до 147,1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proofErr w:type="gramEnd"/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proofErr w:type="gram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│кВт) включительно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proofErr w:type="gramEnd"/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 xml:space="preserve">│свыше 200 </w:t>
      </w:r>
      <w:proofErr w:type="spell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л.с</w:t>
      </w:r>
      <w:proofErr w:type="spellEnd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 xml:space="preserve">. до 250 </w:t>
      </w:r>
      <w:proofErr w:type="spell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л.с</w:t>
      </w:r>
      <w:proofErr w:type="spellEnd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.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50,9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57,5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65,0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│(свыше 147,1 кВт до 183,9 кВт)│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│включительно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proofErr w:type="gram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 xml:space="preserve">│свыше 250 </w:t>
      </w:r>
      <w:proofErr w:type="spell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л.с</w:t>
      </w:r>
      <w:proofErr w:type="spellEnd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. (свыше 183,9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60,5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71,7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85,0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proofErr w:type="gramEnd"/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proofErr w:type="gram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│кВт)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proofErr w:type="gramEnd"/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├──────────────────────────────┼──────────────┼─────────────┼─────────────┤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│Другие самоходные транспортные│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17,8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21,1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25,0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lastRenderedPageBreak/>
        <w:t>│средства, машины и механизмы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│на пневматическом и гусеничном│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│ходу (с каждой лошадиной силы)│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├──────────────────────────────┼──────────────┼─────────────┼─────────────┤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│Снегоходы, мотосани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│с мощностью двигателя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│(с каждой лошадиной силы):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 xml:space="preserve">│до 50 </w:t>
      </w:r>
      <w:proofErr w:type="spell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л.с</w:t>
      </w:r>
      <w:proofErr w:type="spellEnd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. (до 36,77 кВт)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13,6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18,5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25,0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│включительно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proofErr w:type="gram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 xml:space="preserve">│свыше 50 </w:t>
      </w:r>
      <w:proofErr w:type="spell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л.с</w:t>
      </w:r>
      <w:proofErr w:type="spellEnd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. (свыше 36,77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27,1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36,8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50,0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proofErr w:type="gramEnd"/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proofErr w:type="gram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│кВт)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proofErr w:type="gramEnd"/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├──────────────────────────────┼──────────────┼─────────────┼─────────────┤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│Катера, моторные лодки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│и другие водные транспортные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│средства с мощностью двигателя│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│(с каждой лошадиной силы):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 xml:space="preserve">│до 30 </w:t>
      </w:r>
      <w:proofErr w:type="spell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л.с</w:t>
      </w:r>
      <w:proofErr w:type="spellEnd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. (до 22,06 кВт)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6,7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7,2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7,7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│включительно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├──────────────────────────────┼──────────────┼─────────────┼─────────────┤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 xml:space="preserve">│свыше 30 </w:t>
      </w:r>
      <w:proofErr w:type="spell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л.с</w:t>
      </w:r>
      <w:proofErr w:type="spellEnd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 xml:space="preserve">. до 100 </w:t>
      </w:r>
      <w:proofErr w:type="spell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л.с</w:t>
      </w:r>
      <w:proofErr w:type="spellEnd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.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24,4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35,0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50,0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│(свыше 22,06 кВт до 73,55 кВт)│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│включительно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proofErr w:type="gram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 xml:space="preserve">│свыше 100 </w:t>
      </w:r>
      <w:proofErr w:type="spell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л.с</w:t>
      </w:r>
      <w:proofErr w:type="spellEnd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. (свыше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48,7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69,8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100,0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proofErr w:type="gramEnd"/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proofErr w:type="gram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│73,55 кВт)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proofErr w:type="gramEnd"/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├──────────────────────────────┼──────────────┼─────────────┼─────────────┤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│Яхты и другие парусно-моторные│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│суда с мощностью двигателя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│(с каждой лошадиной силы):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 xml:space="preserve">│до 100 </w:t>
      </w:r>
      <w:proofErr w:type="spell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л.с</w:t>
      </w:r>
      <w:proofErr w:type="spellEnd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. (до 73,55 кВт)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48,7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69,8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100,0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│включительно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proofErr w:type="gram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 xml:space="preserve">│свыше 100 </w:t>
      </w:r>
      <w:proofErr w:type="spell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л.с</w:t>
      </w:r>
      <w:proofErr w:type="spellEnd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. (свыше 73,55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97,4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139,6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200,0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proofErr w:type="gramEnd"/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proofErr w:type="gram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lastRenderedPageBreak/>
        <w:t>│кВт)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proofErr w:type="gramEnd"/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├──────────────────────────────┼──────────────┼─────────────┼─────────────┤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│Гидроциклы с мощностью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proofErr w:type="gram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│двигателя (с каждой лошадиной 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proofErr w:type="gramEnd"/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│силы):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 xml:space="preserve">│до 100 </w:t>
      </w:r>
      <w:proofErr w:type="spell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л.с</w:t>
      </w:r>
      <w:proofErr w:type="spellEnd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. (до 73,55 кВт)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61,4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87,6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125,0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│включительно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proofErr w:type="gram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 xml:space="preserve">│свыше 100 </w:t>
      </w:r>
      <w:proofErr w:type="spell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л.с</w:t>
      </w:r>
      <w:proofErr w:type="spellEnd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. (свыше 73,55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121,8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174,5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250,0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proofErr w:type="gramEnd"/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proofErr w:type="gram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│кВт)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proofErr w:type="gramEnd"/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├──────────────────────────────┼──────────────┼─────────────┼─────────────┤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│Несамоходные (буксируемые)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54,3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73,7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100,0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│суда, для которых определяется│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proofErr w:type="gram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│валовая вместимость (с каждой 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proofErr w:type="gramEnd"/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│регистровой тонны валовой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│вместимости)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├──────────────────────────────┼──────────────┼─────────────┼─────────────┤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│Самолеты, вертолеты и иные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67,9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92,2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125,0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│воздушные суда, имеющие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proofErr w:type="gram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│двигатели (с каждой лошадиной 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proofErr w:type="gramEnd"/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│силы)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├──────────────────────────────┼──────────────┼─────────────┼─────────────┤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│Самолеты, имеющие реактивные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34,2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58,5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100,0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proofErr w:type="gram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│двигатели (с каждого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proofErr w:type="gramEnd"/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│килограмма силы тяги)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├──────────────────────────────┼──────────────┼─────────────┼─────────────┤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│Другие водные и воздушные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600,0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800,0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1000,0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│транспортные средства, не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proofErr w:type="gram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│имеющие двигателей (с единицы 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proofErr w:type="gramEnd"/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│транспортного средства)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│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└──────────────────────────────┴──────────────┴─────────────┴─────────────┘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 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lastRenderedPageBreak/>
        <w:t>(таблица в ред. Закона Челябинской области от 30.09.2008 N 312-ЗО)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 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ind w:firstLine="540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Статья 3. Сроки уплаты налога и авансовых платежей по налогу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ind w:firstLine="540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 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ind w:firstLine="540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(в ред. Закона Челябинской области от 24.11.2005 N 421-ЗО)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ind w:firstLine="540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 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ind w:firstLine="540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1. Налогоплательщики, являющиеся организациями, уплачивают авансовые платежи по налогу по итогам отчетных периодов не позднее последнего числа месяца, следующего за истекшим отчетным периодом.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ind w:firstLine="540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2. Налогоплательщики, являющиеся организациями, производят окончательную уплату суммы налога не позднее 1 марта года, следующего за истекшим налоговым периодом.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ind w:firstLine="540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 xml:space="preserve">3. </w:t>
      </w:r>
      <w:proofErr w:type="gramStart"/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Налогоплательщики, являющиеся физическими лицами, уплачивают налог не позднее 15 июня года, следующего за истекшим налоговым периодом, на основании налогового уведомления, направляемого налоговым органом.</w:t>
      </w:r>
      <w:proofErr w:type="gramEnd"/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. 3 введен Законом Челябинской области от 25.05.2006 N 27-ЗО)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 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ind w:firstLine="540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 xml:space="preserve">Статья 3.1. </w:t>
      </w:r>
      <w:proofErr w:type="gramStart"/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Исключена</w:t>
      </w:r>
      <w:proofErr w:type="gramEnd"/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 xml:space="preserve"> с 1 января 2007 года. - Закон Челябинской области от 25.05.2006 N 27-ЗО.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ind w:firstLine="540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 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ind w:firstLine="540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Статья 4. Налоговые льготы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 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ind w:firstLine="540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1. От уплаты налога освобождаются: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ind w:firstLine="540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 xml:space="preserve">1) физические лица, подвергшиеся воздействию радиации вследствие чернобыльской катастрофы, категории которых установлены в Законе Российской Федерации "О социальной защите граждан, подвергшихся воздействию радиации вследствие катастрофы на Чернобыльской АЭС"; </w:t>
      </w:r>
      <w:proofErr w:type="gramStart"/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 xml:space="preserve">лица, подвергшиеся воздействию радиации вследствие участия в испытаниях ядерного и термоядерного оружия, а также ликвидации аварии ядерных установок на средствах вооружения и военных объектах в составе подразделений особого риска, категории которых установлены в Постановлении Верховного Совета Российской Федерации "О распространении действия Закона РСФСР "О </w:t>
      </w: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lastRenderedPageBreak/>
        <w:t>социальной защите граждан, подвергшихся воздействию радиации вследствие катастрофы на Чернобыльской АЭС" на граждан из подразделений особого</w:t>
      </w:r>
      <w:proofErr w:type="gramEnd"/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 xml:space="preserve"> риска"; лица, подвергшиеся воздействию радиации вследствие аварии в 1957 году на производственном объединении "Маяк", категории которых установлены в Законе Российской Федерации "О социальной защите граждан,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Теча</w:t>
      </w:r>
      <w:proofErr w:type="spellEnd"/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 xml:space="preserve">"; </w:t>
      </w:r>
      <w:proofErr w:type="gramStart"/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лица, подвергшиеся воздействию радиации в результате ядерных испытаний на Семипалатинском полигоне, категории которых установлены Федеральным законом "О социальных гарантиях гражданам, подвергшимся радиационному воздействию вследствие ядерных испытаний на Семипалатинском полигоне";</w:t>
      </w:r>
      <w:proofErr w:type="gramEnd"/>
    </w:p>
    <w:p w:rsidR="007350EA" w:rsidRPr="007350EA" w:rsidRDefault="007350EA" w:rsidP="007350EA">
      <w:pPr>
        <w:shd w:val="clear" w:color="auto" w:fill="FFFFFF"/>
        <w:spacing w:after="0" w:line="465" w:lineRule="atLeast"/>
        <w:ind w:firstLine="540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2) Герои Советского Союза, Герои Российской Федерации, полные кавалеры ордена Славы, Герои Социалистического Труда и полные кавалеры ордена Трудовой Славы;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ind w:firstLine="540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3) инвалиды Великой Отечественной войны, инвалиды боевых действий, военнослужащие и лица рядового и начальствующего состава органов внутренних дел, ставшие инвалидами вследствие ранения, контузии, увечья, полученных при исполнении обязанностей военной службы (служебных обязанностей), участники Великой Отечественной войны;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ind w:firstLine="540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4) семьи, имеющие детей - инвалидов, а также инвалиды I и II групп;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ind w:firstLine="540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proofErr w:type="gramStart"/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5) общественные организации инвалидов, использующие транспортные средства для осуществления своей уставной деятельности (не более 2 единиц); организации, уставный капитал которых полностью состоит из вкладов общественных организаций инвалидов, если среднесписочная численность инвалидов среди их работников составляет не менее 50 процентов от общего числа работников, а их доля в фонде оплаты труда - не менее 25 процентов;</w:t>
      </w:r>
      <w:proofErr w:type="gramEnd"/>
    </w:p>
    <w:p w:rsidR="007350EA" w:rsidRPr="007350EA" w:rsidRDefault="007350EA" w:rsidP="007350EA">
      <w:pPr>
        <w:shd w:val="clear" w:color="auto" w:fill="FFFFFF"/>
        <w:spacing w:after="0" w:line="465" w:lineRule="atLeast"/>
        <w:ind w:firstLine="540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6) организации автомобильного транспорта - по транспортным средствам, осуществляющим регулярные перевозки пассажиров по единым тарифам за проезд, установленным органами местного самоуправления в соответствии со статьей 35 Федерального закона "Об общих принципах организации местного самоуправления в Российской Федерации";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пп</w:t>
      </w:r>
      <w:proofErr w:type="spellEnd"/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. 6 в ред. Закона Челябинской области от 29.10.2009 N 487-ЗО)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ind w:firstLine="540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lastRenderedPageBreak/>
        <w:t>7) организации, осуществляющие строительство, реконструкцию, ремонт и содержание областных автомобильных дорог общего пользования, улиц и дорог населенных пунктов Челябинской области и искусственных сооружений на них, если удельный вес доходов от осуществления этой деятельности составляет 70 и более процентов;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ind w:firstLine="540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proofErr w:type="gramStart"/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8 - 11) исключены с 1 января 2010 года.</w:t>
      </w:r>
      <w:proofErr w:type="gramEnd"/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 xml:space="preserve"> - Закон Челябинской области от 29.10.2009 N 487-ЗО;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ind w:firstLine="540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12) организации автомобильного транспорта, содержащие автомобильные колонны войскового типа для Вооруженных Сил Российской Федерации, в части налогообложения грузовых автомобилей, законсервированных и (или) не используемых в производстве и включенных в состав автоколонн войскового типа.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пп</w:t>
      </w:r>
      <w:proofErr w:type="spellEnd"/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 xml:space="preserve">. 12 </w:t>
      </w:r>
      <w:proofErr w:type="gramStart"/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введен</w:t>
      </w:r>
      <w:proofErr w:type="gramEnd"/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 xml:space="preserve"> Законом Челябинской области от 27.11.2003 N 185-ЗО)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ind w:firstLine="540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2. Пенсионеры и многодетные семьи, имеющие трех и более детей в возрасте до восемнадцати лет, в собственности которых находятся автомобили легковые с мощностью двигателя до 150 лошадиных сил (до 110,33 кВт) включительно, уплачивают налог по ставке 1 рубль с каждой лошадиной силы в отношении одного автомобиля легкового по выбору налогоплательщика.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 xml:space="preserve"> ред. Законов Челябинской области от 30.09.2008 N 312-ЗО, от 29.01.2009 N 351-ЗО)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ind w:firstLine="540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 xml:space="preserve">3. </w:t>
      </w:r>
      <w:proofErr w:type="gramStart"/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Лицам, указанным в подпунктах 1 - 4 пункта 1 настоящей статьи, имеющим в собственности транспортные средства, льгота предоставляется в отношении одного транспортного средства с мощностью двигателя до 150 лошадиных сил (до 110,33 кВт) включительно по выбору налогоплательщика, если транспортное средство признается объектом налогообложения в соответствии со статьей 358 Налогового кодекса Российской Федерации (кроме снегоходов, мотосаней, катеров, моторных лодок и других водных</w:t>
      </w:r>
      <w:proofErr w:type="gramEnd"/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 xml:space="preserve"> транспортных средств, яхт и других парусно-моторных судов, гидроциклов, самолетов, вертолетов и иных воздушных судов, имеющих двигатели).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(в ред. Законов Челябинской области от 26.06.2003 N 164-ЗО, от 30.09.2008 N 312-ЗО, от 27.08.2009 N 458-ЗО)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 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1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3 .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Налог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уплачивается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в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размере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60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процентов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proofErr w:type="gram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от</w:t>
      </w:r>
      <w:proofErr w:type="gramEnd"/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lastRenderedPageBreak/>
        <w:t>соответствующих ставок, установленных статьей 2 настоящего Закона,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 xml:space="preserve">физическими лицами по грузовым автомобилям, </w:t>
      </w:r>
      <w:proofErr w:type="gram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с даты выпуска</w:t>
      </w:r>
      <w:proofErr w:type="gramEnd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 xml:space="preserve"> которых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прошло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более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10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лет,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мощность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 xml:space="preserve">которых до 150 лошадиных сил, </w:t>
      </w:r>
      <w:proofErr w:type="gram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в</w:t>
      </w:r>
      <w:proofErr w:type="gramEnd"/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proofErr w:type="gram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отношении</w:t>
      </w:r>
      <w:proofErr w:type="gramEnd"/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одного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транспортного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средства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по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выбору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налогоплательщика.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 xml:space="preserve">(п. 3-1 </w:t>
      </w:r>
      <w:proofErr w:type="gramStart"/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введен</w:t>
      </w:r>
      <w:proofErr w:type="gramEnd"/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 xml:space="preserve"> Законом Челябинской области от 27.11.2003 N 185-ЗО, в ред. Закона Челябинской области от 30.11.2004 N 318-ЗО)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ind w:firstLine="540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 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2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3 .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Налог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уплачивается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в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размере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40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процентов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proofErr w:type="gram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от</w:t>
      </w:r>
      <w:proofErr w:type="gramEnd"/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соответствующих ставок, установленных статьей 2 настоящего Закона,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физическими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лицами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по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 xml:space="preserve">мотоциклам и мотороллерам, </w:t>
      </w:r>
      <w:proofErr w:type="gram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с даты выпуска</w:t>
      </w:r>
      <w:proofErr w:type="gramEnd"/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которых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прошло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более 10 лет, мощность которых свыше 35 лошадиных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сил,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в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отношении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одного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транспортного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средства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по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выбору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налогоплательщика.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 xml:space="preserve">(п. 3-2 </w:t>
      </w:r>
      <w:proofErr w:type="gramStart"/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введен</w:t>
      </w:r>
      <w:proofErr w:type="gramEnd"/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 xml:space="preserve"> Законом Челябинской области от 30.11.2004 N 318-ЗО)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ind w:firstLine="540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 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3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3 .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Налог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уплачивается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в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размере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80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процентов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</w:t>
      </w:r>
      <w:proofErr w:type="gramStart"/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от</w:t>
      </w:r>
      <w:proofErr w:type="gramEnd"/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соответствующих ставок, установленных статьей 2 настоящего Закона,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физическими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лицами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по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легковым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автомобилям,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мощность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которых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составляет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до 70 лошадиных сил (включительно), в отношении одного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транспортного средства по выбору налогоплательщика.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 xml:space="preserve">(п. 3-3 </w:t>
      </w:r>
      <w:proofErr w:type="gramStart"/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введен</w:t>
      </w:r>
      <w:proofErr w:type="gramEnd"/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 xml:space="preserve"> Законом Челябинской области от 24.11.2005 N 421-ЗО)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ind w:firstLine="540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 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ind w:firstLine="540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4. Льгота предоставляется по заявлению налогоплательщика при предоставлении документов, подтверждающих право на льготу.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5. При наличии нескольких оснований для получения льгот льгота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1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предоставляется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по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одному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из перечисленных в пунктах 1, 2, 3 .,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2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bdr w:val="none" w:sz="0" w:space="0" w:color="auto" w:frame="1"/>
          <w:lang w:eastAsia="ru-RU"/>
        </w:rPr>
        <w:t>     </w:t>
      </w: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t>3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ourier New" w:eastAsia="Times New Roman" w:hAnsi="Courier New" w:cs="Courier New"/>
          <w:color w:val="2F2F2F"/>
          <w:sz w:val="20"/>
          <w:szCs w:val="20"/>
          <w:lang w:eastAsia="ru-RU"/>
        </w:rPr>
        <w:lastRenderedPageBreak/>
        <w:t>3 . и 3 . настоящей статьи оснований.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(в ред. Законов Челябинской области от 27.11.2003 N 185-ЗО, от 30.11.2004 N 318-ЗО, от 24.11.2005 N 421-ЗО)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ind w:firstLine="540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6. Льгота по транспортному налогу не предоставляется в отношении транспортных средств, переданных собственником в аренду организациям и физическим лицам.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. 6 введен Законом Челябинской области от 27.08.2009 N 458-ЗО)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 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ind w:firstLine="540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Статья 5. Заключительные положения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 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ind w:firstLine="540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Настоящий Закон вступает в силу с 1 января 2003 года.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 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righ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Губернатор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righ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Челябинской области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righ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П.И.СУМИН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jc w:val="righ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28.11.2002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г. Челябинск</w:t>
      </w:r>
    </w:p>
    <w:p w:rsidR="007350EA" w:rsidRPr="007350EA" w:rsidRDefault="007350EA" w:rsidP="007350EA">
      <w:pPr>
        <w:shd w:val="clear" w:color="auto" w:fill="FFFFFF"/>
        <w:spacing w:after="0" w:line="465" w:lineRule="atLeast"/>
        <w:textAlignment w:val="baseline"/>
        <w:rPr>
          <w:rFonts w:ascii="Times New Roman" w:eastAsia="Times New Roman" w:hAnsi="Times New Roman" w:cs="Times New Roman"/>
          <w:color w:val="2F2F2F"/>
          <w:sz w:val="29"/>
          <w:szCs w:val="29"/>
          <w:lang w:eastAsia="ru-RU"/>
        </w:rPr>
      </w:pPr>
      <w:r w:rsidRPr="007350EA">
        <w:rPr>
          <w:rFonts w:ascii="Calibri" w:eastAsia="Times New Roman" w:hAnsi="Calibri" w:cs="Calibri"/>
          <w:color w:val="2F2F2F"/>
          <w:sz w:val="24"/>
          <w:szCs w:val="24"/>
          <w:bdr w:val="none" w:sz="0" w:space="0" w:color="auto" w:frame="1"/>
          <w:lang w:eastAsia="ru-RU"/>
        </w:rPr>
        <w:t>N 114-ЗО от 28 ноября 2002 года</w:t>
      </w:r>
    </w:p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45"/>
    <w:rsid w:val="007350EA"/>
    <w:rsid w:val="00AF1845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5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50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350EA"/>
    <w:rPr>
      <w:b/>
      <w:bCs/>
    </w:rPr>
  </w:style>
  <w:style w:type="character" w:customStyle="1" w:styleId="apple-converted-space">
    <w:name w:val="apple-converted-space"/>
    <w:basedOn w:val="a0"/>
    <w:rsid w:val="007350EA"/>
  </w:style>
  <w:style w:type="character" w:styleId="a4">
    <w:name w:val="Hyperlink"/>
    <w:basedOn w:val="a0"/>
    <w:uiPriority w:val="99"/>
    <w:semiHidden/>
    <w:unhideWhenUsed/>
    <w:rsid w:val="007350E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50EA"/>
    <w:rPr>
      <w:color w:val="800080"/>
      <w:u w:val="single"/>
    </w:rPr>
  </w:style>
  <w:style w:type="paragraph" w:customStyle="1" w:styleId="consplusnonformat">
    <w:name w:val="consplusnonformat"/>
    <w:basedOn w:val="a"/>
    <w:rsid w:val="0073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5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50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350EA"/>
    <w:rPr>
      <w:b/>
      <w:bCs/>
    </w:rPr>
  </w:style>
  <w:style w:type="character" w:customStyle="1" w:styleId="apple-converted-space">
    <w:name w:val="apple-converted-space"/>
    <w:basedOn w:val="a0"/>
    <w:rsid w:val="007350EA"/>
  </w:style>
  <w:style w:type="character" w:styleId="a4">
    <w:name w:val="Hyperlink"/>
    <w:basedOn w:val="a0"/>
    <w:uiPriority w:val="99"/>
    <w:semiHidden/>
    <w:unhideWhenUsed/>
    <w:rsid w:val="007350E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50EA"/>
    <w:rPr>
      <w:color w:val="800080"/>
      <w:u w:val="single"/>
    </w:rPr>
  </w:style>
  <w:style w:type="paragraph" w:customStyle="1" w:styleId="consplusnonformat">
    <w:name w:val="consplusnonformat"/>
    <w:basedOn w:val="a"/>
    <w:rsid w:val="0073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2942</Words>
  <Characters>16776</Characters>
  <Application>Microsoft Office Word</Application>
  <DocSecurity>0</DocSecurity>
  <Lines>139</Lines>
  <Paragraphs>39</Paragraphs>
  <ScaleCrop>false</ScaleCrop>
  <Company/>
  <LinksUpToDate>false</LinksUpToDate>
  <CharactersWithSpaces>19679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2016-08-02T08:20:00Z</dcterms:created>
  <dcterms:modified xsi:type="dcterms:W3CDTF">2016-08-02T08:20:00Z</dcterms:modified>
</cp:coreProperties>
</file>